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DE40" w14:textId="52E83EB8" w:rsidR="00FD094B" w:rsidRPr="004507E9" w:rsidRDefault="00354E99" w:rsidP="006F062B">
      <w:pPr>
        <w:pStyle w:val="Header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80"/>
          <w:sz w:val="22"/>
          <w:szCs w:val="22"/>
        </w:rPr>
        <w:drawing>
          <wp:inline distT="0" distB="0" distL="0" distR="0" wp14:anchorId="405C0EFB" wp14:editId="38593F90">
            <wp:extent cx="1164590" cy="1005840"/>
            <wp:effectExtent l="0" t="0" r="0" b="3810"/>
            <wp:docPr id="534351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09147" w14:textId="77777777" w:rsidR="00B86E43" w:rsidRPr="004507E9" w:rsidRDefault="00B86E43" w:rsidP="00FD094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51" w:type="dxa"/>
        <w:tblInd w:w="108" w:type="dxa"/>
        <w:tblLook w:val="04A0" w:firstRow="1" w:lastRow="0" w:firstColumn="1" w:lastColumn="0" w:noHBand="0" w:noVBand="1"/>
      </w:tblPr>
      <w:tblGrid>
        <w:gridCol w:w="2943"/>
        <w:gridCol w:w="3181"/>
        <w:gridCol w:w="3227"/>
      </w:tblGrid>
      <w:tr w:rsidR="009C0B74" w:rsidRPr="007B252C" w14:paraId="093657DD" w14:textId="77777777" w:rsidTr="00F331F1">
        <w:tc>
          <w:tcPr>
            <w:tcW w:w="2943" w:type="dxa"/>
          </w:tcPr>
          <w:p w14:paraId="49623DF7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408" w:type="dxa"/>
            <w:gridSpan w:val="2"/>
          </w:tcPr>
          <w:p w14:paraId="58EFF928" w14:textId="5756A3DE" w:rsidR="00426A2F" w:rsidRPr="00DA21F0" w:rsidRDefault="00DA21F0" w:rsidP="000721B6">
            <w:pPr>
              <w:pStyle w:val="Heading1"/>
              <w:jc w:val="left"/>
              <w:rPr>
                <w:rFonts w:asciiTheme="majorHAnsi" w:hAnsiTheme="majorHAnsi" w:cs="Arial"/>
                <w:sz w:val="24"/>
              </w:rPr>
            </w:pPr>
            <w:r w:rsidRPr="00DA21F0">
              <w:rPr>
                <w:rFonts w:asciiTheme="majorHAnsi" w:hAnsiTheme="majorHAnsi" w:cs="Arial"/>
                <w:sz w:val="24"/>
              </w:rPr>
              <w:t>Board Secretary</w:t>
            </w:r>
            <w:r>
              <w:rPr>
                <w:rFonts w:asciiTheme="majorHAnsi" w:hAnsiTheme="majorHAnsi" w:cs="Arial"/>
                <w:sz w:val="24"/>
              </w:rPr>
              <w:t xml:space="preserve"> </w:t>
            </w:r>
          </w:p>
        </w:tc>
      </w:tr>
      <w:tr w:rsidR="009C0B74" w:rsidRPr="007B252C" w14:paraId="622079EA" w14:textId="77777777" w:rsidTr="00E076F0">
        <w:tc>
          <w:tcPr>
            <w:tcW w:w="2943" w:type="dxa"/>
          </w:tcPr>
          <w:p w14:paraId="04D57515" w14:textId="77777777" w:rsidR="009C0B74" w:rsidRPr="007B252C" w:rsidRDefault="00C525C7" w:rsidP="00946594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Level and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Salary:</w:t>
            </w:r>
          </w:p>
        </w:tc>
        <w:tc>
          <w:tcPr>
            <w:tcW w:w="3181" w:type="dxa"/>
          </w:tcPr>
          <w:p w14:paraId="0BF95829" w14:textId="7E749DFC" w:rsidR="00426A2F" w:rsidRPr="000721B6" w:rsidRDefault="00354E99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Level 3</w:t>
            </w:r>
          </w:p>
        </w:tc>
        <w:tc>
          <w:tcPr>
            <w:tcW w:w="3227" w:type="dxa"/>
          </w:tcPr>
          <w:p w14:paraId="77B7D2D7" w14:textId="6B508708" w:rsidR="009C0B74" w:rsidRPr="007B252C" w:rsidRDefault="00354E99" w:rsidP="003D2232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$</w:t>
            </w:r>
            <w:r w:rsidRPr="00354E99">
              <w:rPr>
                <w:rFonts w:asciiTheme="majorHAnsi" w:hAnsiTheme="majorHAnsi" w:cs="Arial"/>
                <w:bCs/>
                <w:sz w:val="22"/>
                <w:szCs w:val="22"/>
              </w:rPr>
              <w:t>25,038 to 37,232</w:t>
            </w:r>
          </w:p>
        </w:tc>
      </w:tr>
      <w:tr w:rsidR="009C0B74" w:rsidRPr="007B252C" w14:paraId="479A9112" w14:textId="77777777" w:rsidTr="00E076F0">
        <w:tc>
          <w:tcPr>
            <w:tcW w:w="2943" w:type="dxa"/>
          </w:tcPr>
          <w:p w14:paraId="12F1F0EF" w14:textId="62106476" w:rsidR="009C0B74" w:rsidRPr="007B252C" w:rsidRDefault="00DA21F0" w:rsidP="00330AA0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Section/</w:t>
            </w:r>
            <w:r w:rsidR="00354E9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3181" w:type="dxa"/>
          </w:tcPr>
          <w:p w14:paraId="66B4BC04" w14:textId="0E392B0C" w:rsidR="00426A2F" w:rsidRPr="000721B6" w:rsidRDefault="00DA21F0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Executive</w:t>
            </w:r>
          </w:p>
        </w:tc>
        <w:tc>
          <w:tcPr>
            <w:tcW w:w="3227" w:type="dxa"/>
          </w:tcPr>
          <w:p w14:paraId="3E9DD253" w14:textId="2422AAA7" w:rsidR="009C0B74" w:rsidRPr="007B252C" w:rsidRDefault="00DA21F0" w:rsidP="00FD094B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Tuvalu Fisheries Authority</w:t>
            </w:r>
          </w:p>
        </w:tc>
      </w:tr>
      <w:tr w:rsidR="009C0B74" w:rsidRPr="007B252C" w14:paraId="618A57A7" w14:textId="77777777" w:rsidTr="00F331F1">
        <w:tc>
          <w:tcPr>
            <w:tcW w:w="2943" w:type="dxa"/>
          </w:tcPr>
          <w:p w14:paraId="0FBC2DFE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08" w:type="dxa"/>
            <w:gridSpan w:val="2"/>
          </w:tcPr>
          <w:p w14:paraId="413D2391" w14:textId="3721BCE4" w:rsidR="00426A2F" w:rsidRPr="007B252C" w:rsidRDefault="00B81D62" w:rsidP="000721B6">
            <w:pPr>
              <w:pStyle w:val="Heading1"/>
              <w:jc w:val="left"/>
              <w:rPr>
                <w:rFonts w:asciiTheme="majorHAnsi" w:hAnsiTheme="majorHAnsi" w:cs="Arial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Funafuti</w:t>
            </w:r>
            <w:r w:rsidR="00CB37E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9C0B74" w:rsidRPr="007B252C" w14:paraId="4CF69607" w14:textId="77777777" w:rsidTr="00F331F1">
        <w:tc>
          <w:tcPr>
            <w:tcW w:w="2943" w:type="dxa"/>
          </w:tcPr>
          <w:p w14:paraId="135183AD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408" w:type="dxa"/>
            <w:gridSpan w:val="2"/>
          </w:tcPr>
          <w:p w14:paraId="39354DCD" w14:textId="6C19B651" w:rsidR="00426A2F" w:rsidRPr="00DA21F0" w:rsidRDefault="00DA21F0" w:rsidP="000721B6">
            <w:pPr>
              <w:pStyle w:val="Heading1"/>
              <w:jc w:val="left"/>
              <w:rPr>
                <w:rFonts w:asciiTheme="majorHAnsi" w:hAnsiTheme="majorHAnsi" w:cs="Arial"/>
                <w:sz w:val="24"/>
              </w:rPr>
            </w:pPr>
            <w:r w:rsidRPr="00DA21F0">
              <w:rPr>
                <w:rFonts w:asciiTheme="majorHAnsi" w:hAnsiTheme="majorHAnsi" w:cs="Arial"/>
                <w:sz w:val="24"/>
              </w:rPr>
              <w:t>Managing Director</w:t>
            </w:r>
            <w:r w:rsidR="0019559D">
              <w:rPr>
                <w:rFonts w:asciiTheme="majorHAnsi" w:hAnsiTheme="majorHAnsi" w:cs="Arial"/>
                <w:sz w:val="24"/>
              </w:rPr>
              <w:t xml:space="preserve"> </w:t>
            </w:r>
          </w:p>
        </w:tc>
      </w:tr>
      <w:tr w:rsidR="00507A70" w:rsidRPr="007B252C" w14:paraId="54312B8C" w14:textId="77777777" w:rsidTr="00F331F1">
        <w:tc>
          <w:tcPr>
            <w:tcW w:w="2943" w:type="dxa"/>
          </w:tcPr>
          <w:p w14:paraId="1968A86D" w14:textId="6722BBAE" w:rsidR="00507A70" w:rsidRPr="007B252C" w:rsidRDefault="00507A70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Supervises</w:t>
            </w:r>
          </w:p>
        </w:tc>
        <w:tc>
          <w:tcPr>
            <w:tcW w:w="6408" w:type="dxa"/>
            <w:gridSpan w:val="2"/>
          </w:tcPr>
          <w:p w14:paraId="5F12180A" w14:textId="55AFD2BC" w:rsidR="00507A70" w:rsidRDefault="00507A70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2AE65B3E" w14:textId="77777777" w:rsidR="00DE66F6" w:rsidRPr="007B252C" w:rsidRDefault="00DE66F6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66C33645" w14:textId="77777777" w:rsidR="00296571" w:rsidRDefault="000D645A" w:rsidP="00960A31">
      <w:pPr>
        <w:spacing w:after="120"/>
        <w:ind w:left="0" w:firstLine="0"/>
        <w:rPr>
          <w:rFonts w:asciiTheme="majorHAnsi" w:hAnsiTheme="majorHAnsi" w:cs="Arial"/>
          <w:b/>
          <w:bCs/>
        </w:rPr>
      </w:pPr>
      <w:r w:rsidRPr="00296571">
        <w:rPr>
          <w:rFonts w:asciiTheme="majorHAnsi" w:hAnsiTheme="majorHAnsi" w:cs="Arial"/>
          <w:b/>
          <w:bCs/>
        </w:rPr>
        <w:t>Position summary</w:t>
      </w:r>
      <w:r w:rsidR="00EE3FC7" w:rsidRPr="00296571">
        <w:rPr>
          <w:rFonts w:asciiTheme="majorHAnsi" w:hAnsiTheme="majorHAnsi" w:cs="Arial"/>
          <w:b/>
          <w:bCs/>
        </w:rPr>
        <w:t xml:space="preserve">: </w:t>
      </w:r>
      <w:r w:rsidR="008C375D" w:rsidRPr="00296571">
        <w:rPr>
          <w:rFonts w:asciiTheme="majorHAnsi" w:hAnsiTheme="majorHAnsi" w:cs="Arial"/>
          <w:b/>
          <w:bCs/>
        </w:rPr>
        <w:t xml:space="preserve"> </w:t>
      </w:r>
    </w:p>
    <w:p w14:paraId="57DC0B88" w14:textId="6C793163" w:rsidR="008B3399" w:rsidRPr="00296571" w:rsidRDefault="00354E99" w:rsidP="00960A31">
      <w:pPr>
        <w:spacing w:after="12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19559D">
        <w:rPr>
          <w:rFonts w:asciiTheme="majorHAnsi" w:hAnsiTheme="majorHAnsi"/>
        </w:rPr>
        <w:t>Board Secretary is responsible to the Managing Director for ensuring the smooth and effective operation of the Board of Directors</w:t>
      </w:r>
      <w:r w:rsidR="007D124B">
        <w:rPr>
          <w:rFonts w:asciiTheme="majorHAnsi" w:hAnsiTheme="majorHAnsi"/>
        </w:rPr>
        <w:t xml:space="preserve">. </w:t>
      </w:r>
    </w:p>
    <w:p w14:paraId="4B8201D1" w14:textId="77777777" w:rsidR="00296571" w:rsidRDefault="00EB6C6D" w:rsidP="00960A31">
      <w:pPr>
        <w:spacing w:after="120"/>
        <w:ind w:left="0" w:firstLine="0"/>
        <w:rPr>
          <w:rFonts w:asciiTheme="majorHAnsi" w:hAnsiTheme="majorHAnsi" w:cs="Arial"/>
        </w:rPr>
      </w:pPr>
      <w:r w:rsidRPr="00296571">
        <w:rPr>
          <w:rFonts w:asciiTheme="majorHAnsi" w:hAnsiTheme="majorHAnsi" w:cs="Arial"/>
          <w:b/>
          <w:bCs/>
        </w:rPr>
        <w:t>Main responsibilities</w:t>
      </w:r>
      <w:r w:rsidR="00FD094B" w:rsidRPr="00296571">
        <w:rPr>
          <w:rFonts w:asciiTheme="majorHAnsi" w:hAnsiTheme="majorHAnsi" w:cs="Arial"/>
        </w:rPr>
        <w:t>:</w:t>
      </w:r>
      <w:r w:rsidR="005621FC" w:rsidRPr="00296571">
        <w:rPr>
          <w:rFonts w:asciiTheme="majorHAnsi" w:hAnsiTheme="majorHAnsi" w:cs="Arial"/>
        </w:rPr>
        <w:t xml:space="preserve"> </w:t>
      </w:r>
    </w:p>
    <w:p w14:paraId="44D62D95" w14:textId="52CCA14F" w:rsidR="0019559D" w:rsidRDefault="0019559D" w:rsidP="00960A31">
      <w:pPr>
        <w:spacing w:after="120"/>
        <w:ind w:left="0" w:firstLine="0"/>
        <w:rPr>
          <w:rFonts w:asciiTheme="majorHAnsi" w:hAnsiTheme="majorHAnsi" w:cs="Arial"/>
        </w:rPr>
      </w:pPr>
      <w:r w:rsidRPr="0019559D">
        <w:rPr>
          <w:rFonts w:asciiTheme="majorHAnsi" w:hAnsiTheme="majorHAnsi" w:cs="Arial"/>
        </w:rPr>
        <w:t xml:space="preserve">The purpose of the </w:t>
      </w:r>
      <w:r>
        <w:rPr>
          <w:rFonts w:asciiTheme="majorHAnsi" w:hAnsiTheme="majorHAnsi" w:cs="Arial"/>
        </w:rPr>
        <w:t>position</w:t>
      </w:r>
      <w:r w:rsidRPr="0019559D">
        <w:rPr>
          <w:rFonts w:asciiTheme="majorHAnsi" w:hAnsiTheme="majorHAnsi" w:cs="Arial"/>
        </w:rPr>
        <w:t xml:space="preserve"> is to provide </w:t>
      </w:r>
      <w:r>
        <w:rPr>
          <w:rFonts w:asciiTheme="majorHAnsi" w:hAnsiTheme="majorHAnsi" w:cs="Arial"/>
        </w:rPr>
        <w:t>all necessary</w:t>
      </w:r>
      <w:r w:rsidRPr="0019559D">
        <w:rPr>
          <w:rFonts w:asciiTheme="majorHAnsi" w:hAnsiTheme="majorHAnsi" w:cs="Arial"/>
        </w:rPr>
        <w:t xml:space="preserve"> services to the </w:t>
      </w:r>
      <w:r>
        <w:rPr>
          <w:rFonts w:asciiTheme="majorHAnsi" w:hAnsiTheme="majorHAnsi" w:cs="Arial"/>
        </w:rPr>
        <w:t>TFA</w:t>
      </w:r>
      <w:r w:rsidRPr="0019559D">
        <w:rPr>
          <w:rFonts w:asciiTheme="majorHAnsi" w:hAnsiTheme="majorHAnsi" w:cs="Arial"/>
        </w:rPr>
        <w:t xml:space="preserve"> Board, meet governance requirements and oversee the appointment of the Board</w:t>
      </w:r>
      <w:r>
        <w:rPr>
          <w:rFonts w:asciiTheme="majorHAnsi" w:hAnsiTheme="majorHAnsi" w:cs="Arial"/>
        </w:rPr>
        <w:t>. The Board Secretary is expected to work closely with TFA senior staff to ensure that Board decisions are implemented and provide executive support to the Managing Director.</w:t>
      </w:r>
    </w:p>
    <w:p w14:paraId="78BB62EC" w14:textId="4352FD67" w:rsidR="008555C2" w:rsidRPr="00296571" w:rsidRDefault="009A0FEA" w:rsidP="00960A31">
      <w:pPr>
        <w:spacing w:after="120"/>
        <w:ind w:left="0" w:firstLine="0"/>
        <w:rPr>
          <w:rFonts w:asciiTheme="majorHAnsi" w:hAnsiTheme="majorHAnsi" w:cs="Arial"/>
        </w:rPr>
      </w:pPr>
      <w:r w:rsidRPr="00296571">
        <w:rPr>
          <w:rFonts w:asciiTheme="majorHAnsi" w:hAnsiTheme="majorHAnsi" w:cs="Arial"/>
          <w:b/>
        </w:rPr>
        <w:t>Main duties</w:t>
      </w:r>
      <w:r w:rsidR="008555C2" w:rsidRPr="00296571">
        <w:rPr>
          <w:rFonts w:asciiTheme="majorHAnsi" w:hAnsiTheme="majorHAnsi" w:cs="Arial"/>
          <w:b/>
        </w:rPr>
        <w:t>:</w:t>
      </w:r>
      <w:r w:rsidR="005621FC" w:rsidRPr="00296571">
        <w:rPr>
          <w:rFonts w:asciiTheme="majorHAnsi" w:hAnsiTheme="majorHAnsi" w:cs="Arial"/>
          <w:b/>
        </w:rPr>
        <w:t xml:space="preserve"> </w:t>
      </w:r>
    </w:p>
    <w:p w14:paraId="283A957B" w14:textId="3680A919" w:rsidR="00FD5842" w:rsidRDefault="00FD5842" w:rsidP="00960A31">
      <w:pPr>
        <w:spacing w:after="120"/>
        <w:ind w:left="0" w:firstLine="0"/>
        <w:rPr>
          <w:rFonts w:asciiTheme="majorHAnsi" w:hAnsiTheme="majorHAnsi"/>
          <w:bCs/>
          <w:iCs/>
        </w:rPr>
      </w:pPr>
      <w:r w:rsidRPr="00296571">
        <w:rPr>
          <w:rFonts w:asciiTheme="majorHAnsi" w:hAnsiTheme="majorHAnsi"/>
          <w:bCs/>
          <w:iCs/>
        </w:rPr>
        <w:t xml:space="preserve">Under the supervision of the </w:t>
      </w:r>
      <w:r w:rsidR="0019559D">
        <w:rPr>
          <w:rFonts w:asciiTheme="majorHAnsi" w:hAnsiTheme="majorHAnsi"/>
          <w:bCs/>
          <w:iCs/>
        </w:rPr>
        <w:t>Managing</w:t>
      </w:r>
      <w:r w:rsidR="00552286">
        <w:rPr>
          <w:rFonts w:asciiTheme="majorHAnsi" w:hAnsiTheme="majorHAnsi"/>
          <w:bCs/>
          <w:iCs/>
        </w:rPr>
        <w:t xml:space="preserve"> Director</w:t>
      </w:r>
      <w:r w:rsidRPr="00296571">
        <w:rPr>
          <w:rFonts w:asciiTheme="majorHAnsi" w:hAnsiTheme="majorHAnsi"/>
          <w:bCs/>
          <w:iCs/>
        </w:rPr>
        <w:t>:</w:t>
      </w:r>
    </w:p>
    <w:p w14:paraId="520EC88C" w14:textId="77777777" w:rsidR="0019559D" w:rsidRPr="0019559D" w:rsidRDefault="0019559D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>Provide a complete secretariat service to the Board, including:</w:t>
      </w:r>
    </w:p>
    <w:p w14:paraId="1C308EE9" w14:textId="20A1871D" w:rsidR="0019559D" w:rsidRPr="0019559D" w:rsidRDefault="0019559D" w:rsidP="0019559D">
      <w:pPr>
        <w:numPr>
          <w:ilvl w:val="0"/>
          <w:numId w:val="21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 xml:space="preserve">develop the Board’s meeting agenda and clear Board papers in consultation with Senior </w:t>
      </w:r>
      <w:r>
        <w:rPr>
          <w:rFonts w:asciiTheme="majorHAnsi" w:hAnsiTheme="majorHAnsi"/>
          <w:bCs/>
          <w:iCs/>
          <w:lang w:val="en-AU"/>
        </w:rPr>
        <w:t>Officers</w:t>
      </w:r>
      <w:r w:rsidRPr="0019559D">
        <w:rPr>
          <w:rFonts w:asciiTheme="majorHAnsi" w:hAnsiTheme="majorHAnsi"/>
          <w:bCs/>
          <w:iCs/>
          <w:lang w:val="en-AU"/>
        </w:rPr>
        <w:t xml:space="preserve"> </w:t>
      </w:r>
    </w:p>
    <w:p w14:paraId="0DE73147" w14:textId="35DE3825" w:rsidR="0019559D" w:rsidRPr="0019559D" w:rsidRDefault="0019559D" w:rsidP="0019559D">
      <w:pPr>
        <w:numPr>
          <w:ilvl w:val="0"/>
          <w:numId w:val="21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>record Board deliberations in minutes</w:t>
      </w:r>
      <w:r>
        <w:rPr>
          <w:rFonts w:asciiTheme="majorHAnsi" w:hAnsiTheme="majorHAnsi"/>
          <w:bCs/>
          <w:iCs/>
          <w:lang w:val="en-AU"/>
        </w:rPr>
        <w:t xml:space="preserve"> and follow up on Decisions</w:t>
      </w:r>
    </w:p>
    <w:p w14:paraId="795A1FD8" w14:textId="77777777" w:rsidR="0019559D" w:rsidRPr="0019559D" w:rsidRDefault="0019559D" w:rsidP="0019559D">
      <w:pPr>
        <w:numPr>
          <w:ilvl w:val="0"/>
          <w:numId w:val="21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>record and monitor correspondence, outcomes and actions required for and resulting from the Board’s responsibilities</w:t>
      </w:r>
    </w:p>
    <w:p w14:paraId="1184A45F" w14:textId="14EA89C9" w:rsidR="0019559D" w:rsidRDefault="0019559D" w:rsidP="0019559D">
      <w:pPr>
        <w:numPr>
          <w:ilvl w:val="0"/>
          <w:numId w:val="21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>manage travel, venue and logistic arrangements for Board meetings</w:t>
      </w:r>
    </w:p>
    <w:p w14:paraId="23326620" w14:textId="4B4C3AB5" w:rsidR="00FF1CB5" w:rsidRPr="0019559D" w:rsidRDefault="00FF1CB5" w:rsidP="0019559D">
      <w:pPr>
        <w:numPr>
          <w:ilvl w:val="0"/>
          <w:numId w:val="21"/>
        </w:numPr>
        <w:spacing w:after="120"/>
        <w:rPr>
          <w:rFonts w:asciiTheme="majorHAnsi" w:hAnsiTheme="majorHAnsi"/>
          <w:bCs/>
          <w:iCs/>
          <w:lang w:val="en-AU"/>
        </w:rPr>
      </w:pPr>
      <w:r>
        <w:rPr>
          <w:rFonts w:asciiTheme="majorHAnsi" w:hAnsiTheme="majorHAnsi"/>
          <w:bCs/>
          <w:iCs/>
          <w:lang w:val="en-AU"/>
        </w:rPr>
        <w:t>manage induction and training of new board members.</w:t>
      </w:r>
    </w:p>
    <w:p w14:paraId="7F913CDA" w14:textId="7E1DFE0E" w:rsidR="0019559D" w:rsidRPr="0019559D" w:rsidRDefault="0019559D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 xml:space="preserve">Liaise with the </w:t>
      </w:r>
      <w:r w:rsidR="00FF1CB5">
        <w:rPr>
          <w:rFonts w:asciiTheme="majorHAnsi" w:hAnsiTheme="majorHAnsi"/>
          <w:bCs/>
          <w:iCs/>
          <w:lang w:val="en-AU"/>
        </w:rPr>
        <w:t>Deputy Director (Corporate), Finance and HR Managers</w:t>
      </w:r>
      <w:r w:rsidRPr="0019559D">
        <w:rPr>
          <w:rFonts w:asciiTheme="majorHAnsi" w:hAnsiTheme="majorHAnsi"/>
          <w:bCs/>
          <w:iCs/>
          <w:lang w:val="en-AU"/>
        </w:rPr>
        <w:t xml:space="preserve"> on corporate governance matters</w:t>
      </w:r>
    </w:p>
    <w:p w14:paraId="681319AE" w14:textId="60484C31" w:rsidR="0019559D" w:rsidRPr="0019559D" w:rsidRDefault="0019559D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 xml:space="preserve">Provide corporate governance advice to </w:t>
      </w:r>
      <w:r w:rsidR="00FF1CB5">
        <w:rPr>
          <w:rFonts w:asciiTheme="majorHAnsi" w:hAnsiTheme="majorHAnsi"/>
          <w:bCs/>
          <w:iCs/>
          <w:lang w:val="en-AU"/>
        </w:rPr>
        <w:t>the</w:t>
      </w:r>
      <w:r w:rsidRPr="0019559D">
        <w:rPr>
          <w:rFonts w:asciiTheme="majorHAnsi" w:hAnsiTheme="majorHAnsi"/>
          <w:bCs/>
          <w:iCs/>
          <w:lang w:val="en-AU"/>
        </w:rPr>
        <w:t xml:space="preserve"> Board and Management, including analysis, policy development and coordination of  responses to reviews. </w:t>
      </w:r>
    </w:p>
    <w:p w14:paraId="78AB3583" w14:textId="6896C88D" w:rsidR="0019559D" w:rsidRDefault="0019559D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 w:rsidRPr="0019559D">
        <w:rPr>
          <w:rFonts w:asciiTheme="majorHAnsi" w:hAnsiTheme="majorHAnsi"/>
          <w:bCs/>
          <w:iCs/>
          <w:lang w:val="en-AU"/>
        </w:rPr>
        <w:t>Monitor risk management reporting to the Board</w:t>
      </w:r>
      <w:r w:rsidR="00FF1CB5">
        <w:rPr>
          <w:rFonts w:asciiTheme="majorHAnsi" w:hAnsiTheme="majorHAnsi"/>
          <w:bCs/>
          <w:iCs/>
          <w:lang w:val="en-AU"/>
        </w:rPr>
        <w:t>.</w:t>
      </w:r>
    </w:p>
    <w:p w14:paraId="2BD3B60B" w14:textId="6AB6645F" w:rsidR="00FF1CB5" w:rsidRPr="005C616E" w:rsidRDefault="00FF1CB5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 w:rsidRPr="00FF1CB5">
        <w:rPr>
          <w:rFonts w:asciiTheme="majorHAnsi" w:hAnsiTheme="majorHAnsi"/>
          <w:bCs/>
          <w:iCs/>
        </w:rPr>
        <w:t>Collate and maintain Board related reporting requirements including annual reports, corporate plans, and other key documents.</w:t>
      </w:r>
    </w:p>
    <w:p w14:paraId="69E750E4" w14:textId="3B0AA885" w:rsidR="005C616E" w:rsidRPr="0019559D" w:rsidRDefault="005C616E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>
        <w:rPr>
          <w:rFonts w:asciiTheme="majorHAnsi" w:hAnsiTheme="majorHAnsi"/>
          <w:bCs/>
          <w:iCs/>
        </w:rPr>
        <w:t>Draft submissions to Cabinet from the Board in consultation with the MD and Minister.</w:t>
      </w:r>
    </w:p>
    <w:p w14:paraId="7E149081" w14:textId="6C55BB48" w:rsidR="0019559D" w:rsidRDefault="00FF1CB5" w:rsidP="0019559D">
      <w:pPr>
        <w:numPr>
          <w:ilvl w:val="0"/>
          <w:numId w:val="20"/>
        </w:numPr>
        <w:spacing w:after="120"/>
        <w:rPr>
          <w:rFonts w:asciiTheme="majorHAnsi" w:hAnsiTheme="majorHAnsi"/>
          <w:bCs/>
          <w:iCs/>
          <w:lang w:val="en-AU"/>
        </w:rPr>
      </w:pPr>
      <w:r>
        <w:rPr>
          <w:rFonts w:asciiTheme="majorHAnsi" w:hAnsiTheme="majorHAnsi"/>
          <w:bCs/>
          <w:iCs/>
          <w:lang w:val="en-AU"/>
        </w:rPr>
        <w:lastRenderedPageBreak/>
        <w:t>P</w:t>
      </w:r>
      <w:r w:rsidR="0019559D" w:rsidRPr="0019559D">
        <w:rPr>
          <w:rFonts w:asciiTheme="majorHAnsi" w:hAnsiTheme="majorHAnsi"/>
          <w:bCs/>
          <w:iCs/>
          <w:lang w:val="en-AU"/>
        </w:rPr>
        <w:t>rovide</w:t>
      </w:r>
      <w:r w:rsidR="008B1E31">
        <w:rPr>
          <w:rFonts w:asciiTheme="majorHAnsi" w:hAnsiTheme="majorHAnsi"/>
          <w:bCs/>
          <w:iCs/>
          <w:lang w:val="en-AU"/>
        </w:rPr>
        <w:t xml:space="preserve"> support to the Managing Director and his </w:t>
      </w:r>
      <w:r w:rsidR="0019559D" w:rsidRPr="0019559D">
        <w:rPr>
          <w:rFonts w:asciiTheme="majorHAnsi" w:hAnsiTheme="majorHAnsi"/>
          <w:bCs/>
          <w:iCs/>
          <w:lang w:val="en-AU"/>
        </w:rPr>
        <w:t>leadership within the Executive Sec</w:t>
      </w:r>
      <w:r>
        <w:rPr>
          <w:rFonts w:asciiTheme="majorHAnsi" w:hAnsiTheme="majorHAnsi"/>
          <w:bCs/>
          <w:iCs/>
          <w:lang w:val="en-AU"/>
        </w:rPr>
        <w:t>tion</w:t>
      </w:r>
      <w:r w:rsidR="00E67671">
        <w:rPr>
          <w:rFonts w:asciiTheme="majorHAnsi" w:hAnsiTheme="majorHAnsi"/>
          <w:bCs/>
          <w:iCs/>
          <w:lang w:val="en-AU"/>
        </w:rPr>
        <w:t xml:space="preserve"> and undertake any other duties assigned by the Managing Director.</w:t>
      </w:r>
    </w:p>
    <w:p w14:paraId="164175C0" w14:textId="77777777" w:rsidR="00FF1CB5" w:rsidRPr="0019559D" w:rsidRDefault="00FF1CB5" w:rsidP="00FF1CB5">
      <w:pPr>
        <w:spacing w:after="120"/>
        <w:ind w:left="283" w:firstLine="0"/>
        <w:rPr>
          <w:rFonts w:asciiTheme="majorHAnsi" w:hAnsiTheme="majorHAnsi"/>
          <w:bCs/>
          <w:iCs/>
          <w:lang w:val="en-AU"/>
        </w:rPr>
      </w:pPr>
    </w:p>
    <w:p w14:paraId="31159974" w14:textId="77777777" w:rsidR="00960A31" w:rsidRDefault="005B6B47" w:rsidP="00960A31">
      <w:pPr>
        <w:spacing w:after="120"/>
        <w:ind w:left="0" w:firstLine="0"/>
        <w:rPr>
          <w:rFonts w:asciiTheme="majorHAnsi" w:hAnsiTheme="majorHAnsi"/>
          <w:b/>
        </w:rPr>
      </w:pPr>
      <w:r w:rsidRPr="00296571">
        <w:rPr>
          <w:rFonts w:asciiTheme="majorHAnsi" w:hAnsiTheme="majorHAnsi"/>
          <w:b/>
        </w:rPr>
        <w:t>Special Conditions</w:t>
      </w:r>
    </w:p>
    <w:p w14:paraId="2666B816" w14:textId="3C478992" w:rsidR="005B6B47" w:rsidRPr="00296571" w:rsidRDefault="00FF1CB5" w:rsidP="00507A70">
      <w:pPr>
        <w:pStyle w:val="ListParagraph"/>
        <w:numPr>
          <w:ilvl w:val="0"/>
          <w:numId w:val="17"/>
        </w:numPr>
        <w:spacing w:after="120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The Board Secretary will have access to sensitive and confidential material and must be able to exercise discretion.</w:t>
      </w:r>
    </w:p>
    <w:p w14:paraId="334BB72F" w14:textId="63564737" w:rsidR="00426A2F" w:rsidRPr="00296571" w:rsidRDefault="002F7BE8" w:rsidP="00960A31">
      <w:pPr>
        <w:spacing w:after="120"/>
        <w:ind w:left="0" w:firstLine="0"/>
        <w:rPr>
          <w:rFonts w:asciiTheme="majorHAnsi" w:hAnsiTheme="majorHAnsi" w:cs="Arial"/>
        </w:rPr>
      </w:pPr>
      <w:r w:rsidRPr="00296571">
        <w:rPr>
          <w:rFonts w:asciiTheme="majorHAnsi" w:hAnsiTheme="majorHAnsi" w:cs="Arial"/>
          <w:b/>
        </w:rPr>
        <w:t>Person S</w:t>
      </w:r>
      <w:r w:rsidR="00006ECF" w:rsidRPr="00296571">
        <w:rPr>
          <w:rFonts w:asciiTheme="majorHAnsi" w:hAnsiTheme="majorHAnsi" w:cs="Arial"/>
          <w:b/>
        </w:rPr>
        <w:t>pecifications</w:t>
      </w:r>
      <w:r w:rsidR="00426A2F" w:rsidRPr="00296571">
        <w:rPr>
          <w:rFonts w:asciiTheme="majorHAnsi" w:hAnsiTheme="majorHAnsi" w:cs="Arial"/>
          <w:b/>
        </w:rPr>
        <w:t>:</w:t>
      </w:r>
    </w:p>
    <w:p w14:paraId="3A30060B" w14:textId="319C3CE0" w:rsidR="00340E9D" w:rsidRPr="00296571" w:rsidRDefault="00340E9D" w:rsidP="00960A31">
      <w:pPr>
        <w:widowControl w:val="0"/>
        <w:spacing w:after="120"/>
        <w:ind w:left="461"/>
        <w:rPr>
          <w:rFonts w:asciiTheme="majorHAnsi" w:hAnsiTheme="majorHAnsi"/>
          <w:i/>
          <w:iCs/>
        </w:rPr>
      </w:pPr>
      <w:r w:rsidRPr="00296571">
        <w:rPr>
          <w:rFonts w:asciiTheme="majorHAnsi" w:hAnsiTheme="majorHAnsi"/>
          <w:i/>
          <w:iCs/>
        </w:rPr>
        <w:t>Essential minimum requirements:</w:t>
      </w:r>
    </w:p>
    <w:p w14:paraId="16E712B0" w14:textId="5E428D35" w:rsidR="000721B6" w:rsidRPr="00296571" w:rsidRDefault="000721B6" w:rsidP="00960A31">
      <w:pPr>
        <w:widowControl w:val="0"/>
        <w:spacing w:after="120"/>
        <w:ind w:left="461"/>
        <w:rPr>
          <w:rFonts w:asciiTheme="majorHAnsi" w:hAnsiTheme="majorHAnsi"/>
          <w:u w:val="single"/>
        </w:rPr>
      </w:pPr>
      <w:r w:rsidRPr="00296571">
        <w:rPr>
          <w:rFonts w:asciiTheme="majorHAnsi" w:hAnsiTheme="majorHAnsi"/>
          <w:u w:val="single"/>
        </w:rPr>
        <w:t>Qualifications/experience</w:t>
      </w:r>
    </w:p>
    <w:p w14:paraId="7D0C6D24" w14:textId="27E2DB60" w:rsidR="00762FBD" w:rsidRDefault="00507A70" w:rsidP="00507A70">
      <w:pPr>
        <w:pStyle w:val="ListParagraph"/>
        <w:widowControl w:val="0"/>
        <w:numPr>
          <w:ilvl w:val="0"/>
          <w:numId w:val="18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A degree level qualification in business administration</w:t>
      </w:r>
      <w:r w:rsidR="008B1E31">
        <w:rPr>
          <w:rFonts w:asciiTheme="majorHAnsi" w:hAnsiTheme="majorHAnsi"/>
        </w:rPr>
        <w:t xml:space="preserve">, public administration </w:t>
      </w:r>
      <w:r>
        <w:rPr>
          <w:rFonts w:asciiTheme="majorHAnsi" w:hAnsiTheme="majorHAnsi"/>
        </w:rPr>
        <w:t xml:space="preserve">or </w:t>
      </w:r>
      <w:r w:rsidR="008B1E31">
        <w:rPr>
          <w:rFonts w:asciiTheme="majorHAnsi" w:hAnsiTheme="majorHAnsi"/>
        </w:rPr>
        <w:t>law;</w:t>
      </w:r>
    </w:p>
    <w:p w14:paraId="3A1AB205" w14:textId="762AD77D" w:rsidR="00507A70" w:rsidRPr="00507A70" w:rsidRDefault="00507A70" w:rsidP="00507A70">
      <w:pPr>
        <w:pStyle w:val="ListParagraph"/>
        <w:widowControl w:val="0"/>
        <w:numPr>
          <w:ilvl w:val="0"/>
          <w:numId w:val="18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least </w:t>
      </w:r>
      <w:r w:rsidR="008B1E31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years</w:t>
      </w:r>
      <w:r w:rsidR="005C616E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 experience in a</w:t>
      </w:r>
      <w:r w:rsidR="008B1E31">
        <w:rPr>
          <w:rFonts w:asciiTheme="majorHAnsi" w:hAnsiTheme="majorHAnsi"/>
        </w:rPr>
        <w:t xml:space="preserve"> senior Government or non-Government role</w:t>
      </w:r>
      <w:r w:rsidR="005C616E">
        <w:rPr>
          <w:rFonts w:asciiTheme="majorHAnsi" w:hAnsiTheme="majorHAnsi"/>
        </w:rPr>
        <w:t xml:space="preserve"> which involves preparing high level documents </w:t>
      </w:r>
      <w:r w:rsidR="0071672D">
        <w:rPr>
          <w:rFonts w:asciiTheme="majorHAnsi" w:hAnsiTheme="majorHAnsi"/>
        </w:rPr>
        <w:t xml:space="preserve">and reports </w:t>
      </w:r>
      <w:r w:rsidR="005C616E">
        <w:rPr>
          <w:rFonts w:asciiTheme="majorHAnsi" w:hAnsiTheme="majorHAnsi"/>
        </w:rPr>
        <w:t>for policy makers</w:t>
      </w:r>
      <w:r w:rsidR="008B1E31">
        <w:rPr>
          <w:rFonts w:asciiTheme="majorHAnsi" w:hAnsiTheme="majorHAnsi"/>
        </w:rPr>
        <w:t>.</w:t>
      </w:r>
    </w:p>
    <w:p w14:paraId="11D2C56D" w14:textId="77777777" w:rsidR="0097057B" w:rsidRPr="00296571" w:rsidRDefault="0097057B" w:rsidP="00960A31">
      <w:pPr>
        <w:widowControl w:val="0"/>
        <w:spacing w:after="120"/>
        <w:ind w:left="432" w:firstLine="0"/>
        <w:contextualSpacing/>
        <w:rPr>
          <w:rFonts w:asciiTheme="majorHAnsi" w:hAnsiTheme="majorHAnsi"/>
        </w:rPr>
      </w:pPr>
    </w:p>
    <w:p w14:paraId="56728AC5" w14:textId="77777777" w:rsidR="00426A2F" w:rsidRPr="00296571" w:rsidRDefault="00762FBD" w:rsidP="00960A31">
      <w:pPr>
        <w:spacing w:after="120"/>
        <w:ind w:left="0" w:firstLine="0"/>
        <w:rPr>
          <w:rFonts w:asciiTheme="majorHAnsi" w:hAnsiTheme="majorHAnsi" w:cs="Arial"/>
          <w:u w:val="single"/>
        </w:rPr>
      </w:pPr>
      <w:r w:rsidRPr="00296571">
        <w:rPr>
          <w:rFonts w:asciiTheme="majorHAnsi" w:hAnsiTheme="majorHAnsi" w:cs="Arial"/>
          <w:u w:val="single"/>
        </w:rPr>
        <w:t>Skills and Abilities</w:t>
      </w:r>
    </w:p>
    <w:p w14:paraId="6925FF26" w14:textId="09DDE3BD" w:rsidR="008B1E31" w:rsidRPr="008B1E31" w:rsidRDefault="008B1E31" w:rsidP="008B1E31">
      <w:pPr>
        <w:numPr>
          <w:ilvl w:val="0"/>
          <w:numId w:val="23"/>
        </w:numPr>
        <w:spacing w:after="120"/>
        <w:rPr>
          <w:rFonts w:asciiTheme="majorHAnsi" w:hAnsiTheme="majorHAnsi" w:cs="Arial"/>
          <w:lang w:val="en-AU"/>
        </w:rPr>
      </w:pPr>
      <w:r w:rsidRPr="008B1E31">
        <w:rPr>
          <w:rFonts w:asciiTheme="majorHAnsi" w:hAnsiTheme="majorHAnsi" w:cs="Arial"/>
          <w:lang w:val="en-AU"/>
        </w:rPr>
        <w:t>Proven communication, liaison and negotiation skills</w:t>
      </w:r>
      <w:r w:rsidR="00A61E7A">
        <w:rPr>
          <w:rFonts w:asciiTheme="majorHAnsi" w:hAnsiTheme="majorHAnsi" w:cs="Arial"/>
          <w:lang w:val="en-AU"/>
        </w:rPr>
        <w:t xml:space="preserve"> with excellent written and spoken English</w:t>
      </w:r>
      <w:r w:rsidRPr="008B1E31">
        <w:rPr>
          <w:rFonts w:asciiTheme="majorHAnsi" w:hAnsiTheme="majorHAnsi" w:cs="Arial"/>
          <w:lang w:val="en-AU"/>
        </w:rPr>
        <w:t>.</w:t>
      </w:r>
    </w:p>
    <w:p w14:paraId="1111C54B" w14:textId="77777777" w:rsidR="008B1E31" w:rsidRPr="008B1E31" w:rsidRDefault="008B1E31" w:rsidP="008B1E31">
      <w:pPr>
        <w:numPr>
          <w:ilvl w:val="0"/>
          <w:numId w:val="23"/>
        </w:numPr>
        <w:spacing w:after="120"/>
        <w:rPr>
          <w:rFonts w:asciiTheme="majorHAnsi" w:hAnsiTheme="majorHAnsi" w:cs="Arial"/>
          <w:lang w:val="en-AU"/>
        </w:rPr>
      </w:pPr>
      <w:r w:rsidRPr="008B1E31">
        <w:rPr>
          <w:rFonts w:asciiTheme="majorHAnsi" w:hAnsiTheme="majorHAnsi" w:cs="Arial"/>
          <w:lang w:val="en-AU"/>
        </w:rPr>
        <w:t>Demonstrated strategic thinking and planning skills.</w:t>
      </w:r>
    </w:p>
    <w:p w14:paraId="038B891A" w14:textId="77777777" w:rsidR="008B1E31" w:rsidRPr="008B1E31" w:rsidRDefault="008B1E31" w:rsidP="008B1E31">
      <w:pPr>
        <w:numPr>
          <w:ilvl w:val="0"/>
          <w:numId w:val="23"/>
        </w:numPr>
        <w:spacing w:after="120"/>
        <w:rPr>
          <w:rFonts w:asciiTheme="majorHAnsi" w:hAnsiTheme="majorHAnsi" w:cs="Arial"/>
          <w:lang w:val="en-AU"/>
        </w:rPr>
      </w:pPr>
      <w:r w:rsidRPr="008B1E31">
        <w:rPr>
          <w:rFonts w:asciiTheme="majorHAnsi" w:hAnsiTheme="majorHAnsi" w:cs="Arial"/>
          <w:lang w:val="en-AU"/>
        </w:rPr>
        <w:t>Demonstrated understanding of administrative law, public sector governance and government processes.</w:t>
      </w:r>
    </w:p>
    <w:p w14:paraId="6CE7DC78" w14:textId="77777777" w:rsidR="008B1E31" w:rsidRPr="008B1E31" w:rsidRDefault="008B1E31" w:rsidP="008B1E31">
      <w:pPr>
        <w:numPr>
          <w:ilvl w:val="0"/>
          <w:numId w:val="23"/>
        </w:numPr>
        <w:spacing w:after="120"/>
        <w:rPr>
          <w:rFonts w:asciiTheme="majorHAnsi" w:hAnsiTheme="majorHAnsi" w:cs="Arial"/>
          <w:lang w:val="en-AU"/>
        </w:rPr>
      </w:pPr>
      <w:r w:rsidRPr="008B1E31">
        <w:rPr>
          <w:rFonts w:asciiTheme="majorHAnsi" w:hAnsiTheme="majorHAnsi" w:cs="Arial"/>
          <w:lang w:val="en-AU"/>
        </w:rPr>
        <w:t xml:space="preserve">High level administrative skills including the ability to plan, manage multiple tasks, set priorities and meet deadlines without compromising quality and accuracy. </w:t>
      </w:r>
    </w:p>
    <w:p w14:paraId="60EA1D15" w14:textId="77777777" w:rsidR="008B1E31" w:rsidRPr="008B1E31" w:rsidRDefault="008B1E31" w:rsidP="008B1E31">
      <w:pPr>
        <w:numPr>
          <w:ilvl w:val="0"/>
          <w:numId w:val="23"/>
        </w:numPr>
        <w:spacing w:after="120"/>
        <w:rPr>
          <w:rFonts w:asciiTheme="majorHAnsi" w:hAnsiTheme="majorHAnsi" w:cs="Arial"/>
          <w:lang w:val="en-AU"/>
        </w:rPr>
      </w:pPr>
      <w:r w:rsidRPr="008B1E31">
        <w:rPr>
          <w:rFonts w:asciiTheme="majorHAnsi" w:hAnsiTheme="majorHAnsi" w:cs="Arial"/>
          <w:lang w:val="en-AU"/>
        </w:rPr>
        <w:t>An understanding  of natural resource management issues, preferably as they relate to fisheries management.</w:t>
      </w:r>
    </w:p>
    <w:p w14:paraId="61EE162B" w14:textId="051CD125" w:rsidR="008B1E31" w:rsidRPr="008B1E31" w:rsidRDefault="008B1E31" w:rsidP="008B1E31">
      <w:pPr>
        <w:numPr>
          <w:ilvl w:val="0"/>
          <w:numId w:val="23"/>
        </w:numPr>
        <w:spacing w:after="120"/>
        <w:rPr>
          <w:rFonts w:asciiTheme="majorHAnsi" w:hAnsiTheme="majorHAnsi" w:cs="Arial"/>
          <w:lang w:val="en-AU"/>
        </w:rPr>
      </w:pPr>
      <w:r w:rsidRPr="008B1E31">
        <w:rPr>
          <w:rFonts w:asciiTheme="majorHAnsi" w:hAnsiTheme="majorHAnsi" w:cs="Arial"/>
          <w:lang w:val="en-AU"/>
        </w:rPr>
        <w:t xml:space="preserve">An understanding and commitment to </w:t>
      </w:r>
      <w:r>
        <w:rPr>
          <w:rFonts w:asciiTheme="majorHAnsi" w:hAnsiTheme="majorHAnsi" w:cs="Arial"/>
          <w:lang w:val="en-AU"/>
        </w:rPr>
        <w:t>TFA’s</w:t>
      </w:r>
      <w:r w:rsidRPr="008B1E31">
        <w:rPr>
          <w:rFonts w:asciiTheme="majorHAnsi" w:hAnsiTheme="majorHAnsi" w:cs="Arial"/>
          <w:lang w:val="en-AU"/>
        </w:rPr>
        <w:t xml:space="preserve"> vision, mission and values.</w:t>
      </w:r>
    </w:p>
    <w:p w14:paraId="034285D5" w14:textId="660708A4" w:rsidR="00426A2F" w:rsidRPr="00296571" w:rsidRDefault="00426A2F" w:rsidP="00960A31">
      <w:pPr>
        <w:spacing w:after="120"/>
        <w:ind w:left="720" w:firstLine="0"/>
        <w:rPr>
          <w:rFonts w:asciiTheme="majorHAnsi" w:hAnsiTheme="majorHAnsi" w:cs="Arial"/>
        </w:rPr>
      </w:pPr>
    </w:p>
    <w:p w14:paraId="42E587C2" w14:textId="77777777" w:rsidR="00A61E7A" w:rsidRDefault="00A61E7A" w:rsidP="00A61E7A">
      <w:pPr>
        <w:spacing w:after="120"/>
        <w:ind w:left="0" w:firstLine="0"/>
        <w:rPr>
          <w:rFonts w:asciiTheme="majorHAnsi" w:hAnsiTheme="majorHAnsi" w:cs="Arial"/>
          <w:b/>
          <w:bCs/>
          <w:lang w:val="en-GB"/>
        </w:rPr>
      </w:pPr>
      <w:r>
        <w:rPr>
          <w:rFonts w:asciiTheme="majorHAnsi" w:hAnsiTheme="majorHAnsi" w:cs="Arial"/>
          <w:b/>
          <w:bCs/>
          <w:lang w:val="en-GB"/>
        </w:rPr>
        <w:t>Other information:</w:t>
      </w:r>
    </w:p>
    <w:p w14:paraId="7A95F9C9" w14:textId="77777777" w:rsidR="00A61E7A" w:rsidRPr="00324FA8" w:rsidRDefault="00A61E7A" w:rsidP="00A61E7A">
      <w:pPr>
        <w:spacing w:after="120"/>
        <w:ind w:left="0" w:firstLine="0"/>
        <w:rPr>
          <w:rFonts w:asciiTheme="majorHAnsi" w:hAnsiTheme="majorHAnsi" w:cs="Arial"/>
          <w:lang w:val="en-GB"/>
        </w:rPr>
      </w:pPr>
      <w:r>
        <w:rPr>
          <w:rFonts w:asciiTheme="majorHAnsi" w:hAnsiTheme="majorHAnsi" w:cs="Arial"/>
          <w:lang w:val="en-GB"/>
        </w:rPr>
        <w:t>All permanent staff of the Authority will be engaged on a 3 year contract with renewal subject to performance. The retirement age of the Authority is 60.</w:t>
      </w:r>
    </w:p>
    <w:p w14:paraId="669C8BD4" w14:textId="77777777" w:rsidR="00A61E7A" w:rsidRPr="004351AD" w:rsidRDefault="00A61E7A" w:rsidP="00A61E7A">
      <w:pPr>
        <w:ind w:left="0" w:firstLine="0"/>
        <w:rPr>
          <w:rFonts w:asciiTheme="majorHAnsi" w:hAnsiTheme="majorHAnsi" w:cs="Arial"/>
          <w:b/>
        </w:rPr>
      </w:pPr>
    </w:p>
    <w:p w14:paraId="1EAD2EF1" w14:textId="77777777" w:rsidR="00A61E7A" w:rsidRPr="005412AE" w:rsidRDefault="00A61E7A" w:rsidP="00A61E7A">
      <w:pPr>
        <w:ind w:left="0" w:firstLine="0"/>
        <w:rPr>
          <w:rFonts w:ascii="Arial" w:hAnsi="Arial" w:cs="Arial"/>
          <w:b/>
        </w:rPr>
      </w:pPr>
    </w:p>
    <w:p w14:paraId="74EE8EBE" w14:textId="77777777" w:rsidR="00A61E7A" w:rsidRPr="00340E9D" w:rsidRDefault="00A61E7A" w:rsidP="00A61E7A">
      <w:pPr>
        <w:ind w:left="0" w:firstLine="0"/>
        <w:rPr>
          <w:rFonts w:asciiTheme="majorHAnsi" w:hAnsiTheme="majorHAnsi" w:cs="Arial"/>
          <w:i/>
          <w:sz w:val="20"/>
          <w:szCs w:val="20"/>
        </w:rPr>
      </w:pPr>
      <w:r w:rsidRPr="00340E9D">
        <w:rPr>
          <w:rFonts w:asciiTheme="majorHAnsi" w:hAnsiTheme="majorHAnsi" w:cs="Arial"/>
          <w:i/>
          <w:sz w:val="20"/>
          <w:szCs w:val="20"/>
        </w:rPr>
        <w:t>It is expected that officers recognise the cross-cutting nature of gender issues; the roles and responsibilities in this job description should be performed by taking into account a sector integration of gender perspectives.</w:t>
      </w:r>
    </w:p>
    <w:p w14:paraId="7EE6FBE4" w14:textId="77777777" w:rsidR="00A61E7A" w:rsidRPr="004507E9" w:rsidRDefault="00A61E7A" w:rsidP="00A61E7A">
      <w:pPr>
        <w:tabs>
          <w:tab w:val="left" w:pos="360"/>
        </w:tabs>
        <w:ind w:left="0" w:firstLine="0"/>
        <w:jc w:val="both"/>
        <w:rPr>
          <w:rFonts w:ascii="Arial" w:hAnsi="Arial" w:cs="Arial"/>
        </w:rPr>
      </w:pPr>
    </w:p>
    <w:p w14:paraId="5BA5FBCA" w14:textId="77777777" w:rsidR="005412AE" w:rsidRPr="005412AE" w:rsidRDefault="005412AE" w:rsidP="00A73A49">
      <w:pPr>
        <w:ind w:left="0" w:firstLine="0"/>
        <w:rPr>
          <w:rFonts w:ascii="Arial" w:hAnsi="Arial" w:cs="Arial"/>
          <w:b/>
        </w:rPr>
      </w:pPr>
    </w:p>
    <w:p w14:paraId="27AF7337" w14:textId="77777777" w:rsidR="00C36FD8" w:rsidRPr="004507E9" w:rsidRDefault="00C36FD8" w:rsidP="008211B7">
      <w:pPr>
        <w:tabs>
          <w:tab w:val="left" w:pos="360"/>
        </w:tabs>
        <w:ind w:left="0" w:firstLine="0"/>
        <w:jc w:val="both"/>
        <w:rPr>
          <w:rFonts w:ascii="Arial" w:hAnsi="Arial" w:cs="Arial"/>
        </w:rPr>
      </w:pPr>
    </w:p>
    <w:sectPr w:rsidR="00C36FD8" w:rsidRPr="004507E9" w:rsidSect="004507E9">
      <w:headerReference w:type="default" r:id="rId8"/>
      <w:foot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B8FE" w14:textId="77777777" w:rsidR="00F0390C" w:rsidRDefault="00F0390C" w:rsidP="00257B43">
      <w:r>
        <w:separator/>
      </w:r>
    </w:p>
  </w:endnote>
  <w:endnote w:type="continuationSeparator" w:id="0">
    <w:p w14:paraId="5BD299CE" w14:textId="77777777" w:rsidR="00F0390C" w:rsidRDefault="00F0390C" w:rsidP="002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2D503" w14:textId="77777777" w:rsidR="00112AFD" w:rsidRDefault="003D6A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32">
          <w:rPr>
            <w:noProof/>
          </w:rPr>
          <w:t>1</w:t>
        </w:r>
        <w:r>
          <w:rPr>
            <w:noProof/>
          </w:rPr>
          <w:fldChar w:fldCharType="end"/>
        </w:r>
        <w:r w:rsidR="00112AFD">
          <w:t xml:space="preserve"> | </w:t>
        </w:r>
        <w:r w:rsidR="00112AFD">
          <w:rPr>
            <w:color w:val="7F7F7F" w:themeColor="background1" w:themeShade="7F"/>
            <w:spacing w:val="60"/>
          </w:rPr>
          <w:t>Page</w:t>
        </w:r>
      </w:p>
    </w:sdtContent>
  </w:sdt>
  <w:p w14:paraId="21B2ACBB" w14:textId="77777777" w:rsidR="00112AFD" w:rsidRDefault="0011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3136" w14:textId="77777777" w:rsidR="00F0390C" w:rsidRDefault="00F0390C" w:rsidP="00257B43">
      <w:r>
        <w:separator/>
      </w:r>
    </w:p>
  </w:footnote>
  <w:footnote w:type="continuationSeparator" w:id="0">
    <w:p w14:paraId="0F8BE0A4" w14:textId="77777777" w:rsidR="00F0390C" w:rsidRDefault="00F0390C" w:rsidP="002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44F" w14:textId="0C6BC2EE" w:rsidR="00112AFD" w:rsidRPr="006F062B" w:rsidRDefault="008F2CF1" w:rsidP="006F062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Tuvalu Fisheries Authority</w:t>
    </w:r>
    <w:r w:rsidR="005621FC">
      <w:rPr>
        <w:rFonts w:ascii="Arial" w:hAnsi="Arial" w:cs="Arial"/>
        <w:b/>
        <w:sz w:val="28"/>
        <w:szCs w:val="28"/>
      </w:rPr>
      <w:t xml:space="preserve"> </w:t>
    </w:r>
    <w:r w:rsidR="00112AFD">
      <w:rPr>
        <w:rFonts w:ascii="Arial" w:hAnsi="Arial" w:cs="Arial"/>
        <w:b/>
        <w:sz w:val="28"/>
        <w:szCs w:val="28"/>
      </w:rPr>
      <w:t>– Job Description</w:t>
    </w:r>
  </w:p>
  <w:p w14:paraId="1A989E48" w14:textId="77777777" w:rsidR="00112AFD" w:rsidRDefault="00112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230325"/>
    <w:multiLevelType w:val="hybridMultilevel"/>
    <w:tmpl w:val="8DC42E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44F"/>
    <w:multiLevelType w:val="hybridMultilevel"/>
    <w:tmpl w:val="B8CA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909"/>
    <w:multiLevelType w:val="multilevel"/>
    <w:tmpl w:val="33DAC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B6C13"/>
    <w:multiLevelType w:val="hybridMultilevel"/>
    <w:tmpl w:val="C924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24EF"/>
    <w:multiLevelType w:val="singleLevel"/>
    <w:tmpl w:val="2DBCEB3E"/>
    <w:lvl w:ilvl="0">
      <w:numFmt w:val="bullet"/>
      <w:lvlText w:val="-"/>
      <w:lvlJc w:val="left"/>
      <w:pPr>
        <w:tabs>
          <w:tab w:val="num" w:pos="704"/>
        </w:tabs>
        <w:ind w:left="704" w:hanging="420"/>
      </w:pPr>
    </w:lvl>
  </w:abstractNum>
  <w:abstractNum w:abstractNumId="6" w15:restartNumberingAfterBreak="0">
    <w:nsid w:val="1FCC7C56"/>
    <w:multiLevelType w:val="multilevel"/>
    <w:tmpl w:val="8B66368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Theme="minorHAnsi" w:hAnsi="Arial" w:cs="Arial" w:hint="default"/>
      </w:rPr>
    </w:lvl>
  </w:abstractNum>
  <w:abstractNum w:abstractNumId="7" w15:restartNumberingAfterBreak="0">
    <w:nsid w:val="2AB63B69"/>
    <w:multiLevelType w:val="hybridMultilevel"/>
    <w:tmpl w:val="F832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5003"/>
    <w:multiLevelType w:val="multilevel"/>
    <w:tmpl w:val="9D80C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5D71A8"/>
    <w:multiLevelType w:val="multilevel"/>
    <w:tmpl w:val="1C1829B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31849B" w:themeColor="accent5" w:themeShade="B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92A30D0"/>
    <w:multiLevelType w:val="singleLevel"/>
    <w:tmpl w:val="91B441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9664FD3"/>
    <w:multiLevelType w:val="hybridMultilevel"/>
    <w:tmpl w:val="38B6EF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735D"/>
    <w:multiLevelType w:val="multilevel"/>
    <w:tmpl w:val="2EDE4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4239DB"/>
    <w:multiLevelType w:val="multilevel"/>
    <w:tmpl w:val="8FE0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FA678D"/>
    <w:multiLevelType w:val="hybridMultilevel"/>
    <w:tmpl w:val="ADB46E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C0090A"/>
    <w:multiLevelType w:val="multilevel"/>
    <w:tmpl w:val="C6CC0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72432D"/>
    <w:multiLevelType w:val="multilevel"/>
    <w:tmpl w:val="C0503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3F7D67"/>
    <w:multiLevelType w:val="multilevel"/>
    <w:tmpl w:val="3ABCB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DC1867"/>
    <w:multiLevelType w:val="hybridMultilevel"/>
    <w:tmpl w:val="9AC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32CC5"/>
    <w:multiLevelType w:val="hybridMultilevel"/>
    <w:tmpl w:val="8FC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82979"/>
    <w:multiLevelType w:val="hybridMultilevel"/>
    <w:tmpl w:val="A4D0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A6AEB"/>
    <w:multiLevelType w:val="multilevel"/>
    <w:tmpl w:val="23D4D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6F5D20"/>
    <w:multiLevelType w:val="multilevel"/>
    <w:tmpl w:val="D1C4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634033">
    <w:abstractNumId w:val="19"/>
  </w:num>
  <w:num w:numId="2" w16cid:durableId="850098266">
    <w:abstractNumId w:val="17"/>
  </w:num>
  <w:num w:numId="3" w16cid:durableId="315107996">
    <w:abstractNumId w:val="13"/>
  </w:num>
  <w:num w:numId="4" w16cid:durableId="579215183">
    <w:abstractNumId w:val="9"/>
  </w:num>
  <w:num w:numId="5" w16cid:durableId="830562544">
    <w:abstractNumId w:val="6"/>
  </w:num>
  <w:num w:numId="6" w16cid:durableId="1800030849">
    <w:abstractNumId w:val="21"/>
  </w:num>
  <w:num w:numId="7" w16cid:durableId="1845243901">
    <w:abstractNumId w:val="8"/>
  </w:num>
  <w:num w:numId="8" w16cid:durableId="169027700">
    <w:abstractNumId w:val="15"/>
  </w:num>
  <w:num w:numId="9" w16cid:durableId="1395204806">
    <w:abstractNumId w:val="16"/>
  </w:num>
  <w:num w:numId="10" w16cid:durableId="2075661305">
    <w:abstractNumId w:val="18"/>
  </w:num>
  <w:num w:numId="11" w16cid:durableId="928319274">
    <w:abstractNumId w:val="12"/>
  </w:num>
  <w:num w:numId="12" w16cid:durableId="1497770346">
    <w:abstractNumId w:val="3"/>
  </w:num>
  <w:num w:numId="13" w16cid:durableId="427242110">
    <w:abstractNumId w:val="14"/>
  </w:num>
  <w:num w:numId="14" w16cid:durableId="1210338275">
    <w:abstractNumId w:val="1"/>
  </w:num>
  <w:num w:numId="15" w16cid:durableId="1324625102">
    <w:abstractNumId w:val="7"/>
  </w:num>
  <w:num w:numId="16" w16cid:durableId="647705732">
    <w:abstractNumId w:val="2"/>
  </w:num>
  <w:num w:numId="17" w16cid:durableId="684332117">
    <w:abstractNumId w:val="11"/>
  </w:num>
  <w:num w:numId="18" w16cid:durableId="123695618">
    <w:abstractNumId w:val="4"/>
  </w:num>
  <w:num w:numId="19" w16cid:durableId="1254896214">
    <w:abstractNumId w:val="22"/>
  </w:num>
  <w:num w:numId="20" w16cid:durableId="137627619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784299870">
    <w:abstractNumId w:val="5"/>
  </w:num>
  <w:num w:numId="22" w16cid:durableId="581648917">
    <w:abstractNumId w:val="10"/>
    <w:lvlOverride w:ilvl="0">
      <w:startOverride w:val="1"/>
    </w:lvlOverride>
  </w:num>
  <w:num w:numId="23" w16cid:durableId="760640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B"/>
    <w:rsid w:val="00001332"/>
    <w:rsid w:val="000026A3"/>
    <w:rsid w:val="00004944"/>
    <w:rsid w:val="00006ECF"/>
    <w:rsid w:val="00045907"/>
    <w:rsid w:val="000721B6"/>
    <w:rsid w:val="00074B1F"/>
    <w:rsid w:val="000A463A"/>
    <w:rsid w:val="000D4F35"/>
    <w:rsid w:val="000D645A"/>
    <w:rsid w:val="0010715E"/>
    <w:rsid w:val="00112AFD"/>
    <w:rsid w:val="00114C40"/>
    <w:rsid w:val="001257F9"/>
    <w:rsid w:val="0013138A"/>
    <w:rsid w:val="00131626"/>
    <w:rsid w:val="00131717"/>
    <w:rsid w:val="001617C3"/>
    <w:rsid w:val="00166CE2"/>
    <w:rsid w:val="00180341"/>
    <w:rsid w:val="0019559D"/>
    <w:rsid w:val="001A5FF6"/>
    <w:rsid w:val="001C03BA"/>
    <w:rsid w:val="001F3A3D"/>
    <w:rsid w:val="001F3B8B"/>
    <w:rsid w:val="001F6BA0"/>
    <w:rsid w:val="00217D0E"/>
    <w:rsid w:val="00225854"/>
    <w:rsid w:val="002262CE"/>
    <w:rsid w:val="00240CEE"/>
    <w:rsid w:val="00257B43"/>
    <w:rsid w:val="002713AC"/>
    <w:rsid w:val="00281408"/>
    <w:rsid w:val="002843D0"/>
    <w:rsid w:val="00296571"/>
    <w:rsid w:val="0029751C"/>
    <w:rsid w:val="002A304B"/>
    <w:rsid w:val="002B7EBD"/>
    <w:rsid w:val="002B7FE6"/>
    <w:rsid w:val="002C6C11"/>
    <w:rsid w:val="002E49B0"/>
    <w:rsid w:val="002F7BE8"/>
    <w:rsid w:val="00316BE5"/>
    <w:rsid w:val="00323010"/>
    <w:rsid w:val="0032388D"/>
    <w:rsid w:val="00330AA0"/>
    <w:rsid w:val="00340E9D"/>
    <w:rsid w:val="00354E99"/>
    <w:rsid w:val="0038301A"/>
    <w:rsid w:val="003B2400"/>
    <w:rsid w:val="003C05A8"/>
    <w:rsid w:val="003C4AB1"/>
    <w:rsid w:val="003D2232"/>
    <w:rsid w:val="003D2D63"/>
    <w:rsid w:val="003D6647"/>
    <w:rsid w:val="003D6AE6"/>
    <w:rsid w:val="003F1A3C"/>
    <w:rsid w:val="00426A2F"/>
    <w:rsid w:val="004351AD"/>
    <w:rsid w:val="00443E74"/>
    <w:rsid w:val="004507E9"/>
    <w:rsid w:val="00461D7F"/>
    <w:rsid w:val="00465060"/>
    <w:rsid w:val="004823EB"/>
    <w:rsid w:val="004933A5"/>
    <w:rsid w:val="004A4BF6"/>
    <w:rsid w:val="004B133A"/>
    <w:rsid w:val="004C05C6"/>
    <w:rsid w:val="004C15CC"/>
    <w:rsid w:val="004F1C64"/>
    <w:rsid w:val="004F6D3E"/>
    <w:rsid w:val="005010D1"/>
    <w:rsid w:val="00507A70"/>
    <w:rsid w:val="005412AE"/>
    <w:rsid w:val="00552286"/>
    <w:rsid w:val="005621FC"/>
    <w:rsid w:val="00566FA6"/>
    <w:rsid w:val="005838EA"/>
    <w:rsid w:val="005A351A"/>
    <w:rsid w:val="005A5B9D"/>
    <w:rsid w:val="005B6B47"/>
    <w:rsid w:val="005B7AB7"/>
    <w:rsid w:val="005C4142"/>
    <w:rsid w:val="005C616E"/>
    <w:rsid w:val="005E1973"/>
    <w:rsid w:val="005F1EDF"/>
    <w:rsid w:val="006146A0"/>
    <w:rsid w:val="00627847"/>
    <w:rsid w:val="006413FC"/>
    <w:rsid w:val="0065287F"/>
    <w:rsid w:val="006837FD"/>
    <w:rsid w:val="006B1CD9"/>
    <w:rsid w:val="006D6F1A"/>
    <w:rsid w:val="006E08D5"/>
    <w:rsid w:val="006E54F6"/>
    <w:rsid w:val="006F062B"/>
    <w:rsid w:val="00712889"/>
    <w:rsid w:val="0071672D"/>
    <w:rsid w:val="00726658"/>
    <w:rsid w:val="0074657A"/>
    <w:rsid w:val="00762FBD"/>
    <w:rsid w:val="007858E8"/>
    <w:rsid w:val="007929E2"/>
    <w:rsid w:val="007A3170"/>
    <w:rsid w:val="007B252C"/>
    <w:rsid w:val="007D124B"/>
    <w:rsid w:val="007D3532"/>
    <w:rsid w:val="007E40EA"/>
    <w:rsid w:val="00805EB5"/>
    <w:rsid w:val="00810002"/>
    <w:rsid w:val="008211B7"/>
    <w:rsid w:val="008434E6"/>
    <w:rsid w:val="008555C2"/>
    <w:rsid w:val="008B1E31"/>
    <w:rsid w:val="008B3399"/>
    <w:rsid w:val="008C375D"/>
    <w:rsid w:val="008D19D2"/>
    <w:rsid w:val="008F2CF1"/>
    <w:rsid w:val="008F6DD9"/>
    <w:rsid w:val="00906992"/>
    <w:rsid w:val="00906D1C"/>
    <w:rsid w:val="009173DD"/>
    <w:rsid w:val="009234D3"/>
    <w:rsid w:val="00935DEF"/>
    <w:rsid w:val="00946594"/>
    <w:rsid w:val="00960A31"/>
    <w:rsid w:val="00961E78"/>
    <w:rsid w:val="0097057B"/>
    <w:rsid w:val="00977B56"/>
    <w:rsid w:val="00985F10"/>
    <w:rsid w:val="009A0FEA"/>
    <w:rsid w:val="009A39DD"/>
    <w:rsid w:val="009A4ABC"/>
    <w:rsid w:val="009B4A93"/>
    <w:rsid w:val="009C0B74"/>
    <w:rsid w:val="009C3E57"/>
    <w:rsid w:val="009D64EB"/>
    <w:rsid w:val="00A211F6"/>
    <w:rsid w:val="00A4382A"/>
    <w:rsid w:val="00A61E7A"/>
    <w:rsid w:val="00A73A49"/>
    <w:rsid w:val="00A92C85"/>
    <w:rsid w:val="00AE03B6"/>
    <w:rsid w:val="00B40B31"/>
    <w:rsid w:val="00B4757C"/>
    <w:rsid w:val="00B56F8C"/>
    <w:rsid w:val="00B81D62"/>
    <w:rsid w:val="00B86E43"/>
    <w:rsid w:val="00B9242B"/>
    <w:rsid w:val="00BB1F60"/>
    <w:rsid w:val="00BB28DE"/>
    <w:rsid w:val="00BF5587"/>
    <w:rsid w:val="00C06317"/>
    <w:rsid w:val="00C36FD8"/>
    <w:rsid w:val="00C525C7"/>
    <w:rsid w:val="00C75378"/>
    <w:rsid w:val="00C758E6"/>
    <w:rsid w:val="00C75B62"/>
    <w:rsid w:val="00C75BFD"/>
    <w:rsid w:val="00C87DED"/>
    <w:rsid w:val="00CA5AC6"/>
    <w:rsid w:val="00CB37EE"/>
    <w:rsid w:val="00CC4CA4"/>
    <w:rsid w:val="00D05579"/>
    <w:rsid w:val="00D12779"/>
    <w:rsid w:val="00D41093"/>
    <w:rsid w:val="00D50F88"/>
    <w:rsid w:val="00D51831"/>
    <w:rsid w:val="00D638E8"/>
    <w:rsid w:val="00D64C37"/>
    <w:rsid w:val="00DA21F0"/>
    <w:rsid w:val="00DB76B0"/>
    <w:rsid w:val="00DE1026"/>
    <w:rsid w:val="00DE66F6"/>
    <w:rsid w:val="00DF09BA"/>
    <w:rsid w:val="00E076F0"/>
    <w:rsid w:val="00E23A7E"/>
    <w:rsid w:val="00E5026B"/>
    <w:rsid w:val="00E5077B"/>
    <w:rsid w:val="00E655A5"/>
    <w:rsid w:val="00E659EC"/>
    <w:rsid w:val="00E67671"/>
    <w:rsid w:val="00EA156A"/>
    <w:rsid w:val="00EA327E"/>
    <w:rsid w:val="00EA75B5"/>
    <w:rsid w:val="00EA7B3F"/>
    <w:rsid w:val="00EB6C6D"/>
    <w:rsid w:val="00ED6516"/>
    <w:rsid w:val="00EE1A22"/>
    <w:rsid w:val="00EE3FC7"/>
    <w:rsid w:val="00F0258D"/>
    <w:rsid w:val="00F0390C"/>
    <w:rsid w:val="00F14BF8"/>
    <w:rsid w:val="00F331F1"/>
    <w:rsid w:val="00F33B1D"/>
    <w:rsid w:val="00F9067F"/>
    <w:rsid w:val="00F915FE"/>
    <w:rsid w:val="00FA09F5"/>
    <w:rsid w:val="00FB695D"/>
    <w:rsid w:val="00FD094B"/>
    <w:rsid w:val="00FD5842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850F"/>
  <w15:docId w15:val="{5B91B4F7-1A86-4D6F-8DF5-9099307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67" w:hanging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EB"/>
  </w:style>
  <w:style w:type="paragraph" w:styleId="Heading1">
    <w:name w:val="heading 1"/>
    <w:basedOn w:val="Normal"/>
    <w:next w:val="Normal"/>
    <w:link w:val="Heading1Char"/>
    <w:qFormat/>
    <w:rsid w:val="00FD094B"/>
    <w:pPr>
      <w:keepNext/>
      <w:ind w:left="0" w:firstLine="0"/>
      <w:jc w:val="center"/>
      <w:outlineLvl w:val="0"/>
    </w:pPr>
    <w:rPr>
      <w:rFonts w:ascii="Copperplate Gothic Bold" w:eastAsia="Times New Roman" w:hAnsi="Copperplate Gothic Bold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D094B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94B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094B"/>
    <w:rPr>
      <w:rFonts w:ascii="Copperplate Gothic Bold" w:eastAsia="Times New Roman" w:hAnsi="Copperplate Gothic Bold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D09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86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43"/>
  </w:style>
  <w:style w:type="table" w:styleId="TableGrid">
    <w:name w:val="Table Grid"/>
    <w:basedOn w:val="TableNormal"/>
    <w:uiPriority w:val="59"/>
    <w:rsid w:val="009C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RMIPSC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</dc:creator>
  <cp:lastModifiedBy>Mike Batty</cp:lastModifiedBy>
  <cp:revision>6</cp:revision>
  <cp:lastPrinted>2023-07-04T04:59:00Z</cp:lastPrinted>
  <dcterms:created xsi:type="dcterms:W3CDTF">2025-04-22T03:50:00Z</dcterms:created>
  <dcterms:modified xsi:type="dcterms:W3CDTF">2025-04-24T03:23:00Z</dcterms:modified>
</cp:coreProperties>
</file>